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показатели социально- экономического развития Артинского городского округа за 1 квартал 2023 года</w:t>
      </w:r>
    </w:p>
    <w:tbl>
      <w:tblPr>
        <w:tblStyle w:val="a3"/>
        <w:tblW w:w="9990" w:type="dxa"/>
        <w:jc w:val="left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0"/>
        <w:gridCol w:w="1920"/>
        <w:gridCol w:w="1980"/>
        <w:gridCol w:w="1109"/>
      </w:tblGrid>
      <w:tr>
        <w:trPr/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Январь – 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март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2022г.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Январь – март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023г.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417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 том числе: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26 789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25 240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01.01.2023)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94,2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4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городское</w:t>
            </w:r>
            <w:r>
              <w:rPr>
                <w:rFonts w:eastAsia="Calibri"/>
                <w:kern w:val="0"/>
                <w:lang w:val="ru-RU" w:eastAsia="en-US" w:bidi="ar-SA"/>
              </w:rPr>
              <w:t xml:space="preserve">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12 894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11 572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89,7</w:t>
            </w:r>
          </w:p>
        </w:tc>
      </w:tr>
      <w:tr>
        <w:trPr>
          <w:trHeight w:val="417" w:hRule="atLeast"/>
        </w:trPr>
        <w:tc>
          <w:tcPr>
            <w:tcW w:w="4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ru-RU" w:eastAsia="en-US" w:bidi="ar-SA"/>
              </w:rPr>
              <w:t xml:space="preserve">                 </w:t>
            </w:r>
            <w:r>
              <w:rPr>
                <w:rFonts w:eastAsia="Calibri" w:ascii="Times New Roman" w:hAnsi="Times New Roman"/>
                <w:kern w:val="0"/>
                <w:lang w:val="ru-RU" w:eastAsia="en-US" w:bidi="ar-SA"/>
              </w:rPr>
              <w:t xml:space="preserve">       </w:t>
            </w:r>
            <w:r>
              <w:rPr>
                <w:rFonts w:eastAsia="Calibri" w:ascii="Times New Roman" w:hAnsi="Times New Roman"/>
                <w:kern w:val="0"/>
                <w:lang w:val="ru-RU" w:eastAsia="en-US" w:bidi="ar-SA"/>
              </w:rPr>
              <w:t>- сельское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13 895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13 668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>
        <w:trPr>
          <w:trHeight w:val="480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136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112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82,3</w:t>
            </w:r>
          </w:p>
        </w:tc>
      </w:tr>
      <w:tr>
        <w:trPr>
          <w:trHeight w:val="653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Объем производства сельскохозяйственной продукции,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тыс.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294 997,00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321 796,00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109,1</w:t>
            </w:r>
          </w:p>
        </w:tc>
      </w:tr>
      <w:tr>
        <w:trPr>
          <w:trHeight w:val="937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fill="auto" w:val="clear"/>
              </w:rPr>
              <w:t>1 373 847,00</w:t>
            </w:r>
          </w:p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fill="auto" w:val="clear"/>
              </w:rPr>
              <w:t>1 625 115,00</w:t>
            </w:r>
          </w:p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18,3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2 658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 xml:space="preserve">,00             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2 658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  <w:t>,00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871,00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871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,00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70,4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70,4</w:t>
            </w:r>
          </w:p>
        </w:tc>
      </w:tr>
      <w:tr>
        <w:trPr>
          <w:trHeight w:val="659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розничной торговли (без субъектов малого предпринимательства), млн.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1 764,1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1 880,8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106,6</w:t>
            </w:r>
          </w:p>
        </w:tc>
      </w:tr>
      <w:tr>
        <w:trPr>
          <w:trHeight w:val="842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общественного питания (без субъектов малого предпринимательства), млн.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88,5</w:t>
            </w:r>
          </w:p>
        </w:tc>
      </w:tr>
      <w:tr>
        <w:trPr>
          <w:trHeight w:val="735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0,905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99,7</w:t>
            </w:r>
          </w:p>
        </w:tc>
      </w:tr>
      <w:tr>
        <w:trPr>
          <w:trHeight w:val="748" w:hRule="atLeast"/>
        </w:trPr>
        <w:tc>
          <w:tcPr>
            <w:tcW w:w="498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Утверждённый местный бюджет,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1 916,60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hd w:fill="auto" w:val="clear"/>
                <w:lang w:val="ru-RU" w:eastAsia="en-US" w:bidi="ar-SA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1 971,19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hd w:fill="auto" w:val="clear"/>
                <w:lang w:val="ru-RU" w:eastAsia="en-US" w:bidi="ar-SA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102,8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highlight w:val="none"/>
                <w:shd w:fill="auto" w:val="clear"/>
              </w:rPr>
            </w:pPr>
            <w:r>
              <w:rPr/>
            </w:r>
          </w:p>
        </w:tc>
      </w:tr>
      <w:tr>
        <w:trPr/>
        <w:tc>
          <w:tcPr>
            <w:tcW w:w="498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417,3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483,19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115,8</w:t>
            </w:r>
          </w:p>
        </w:tc>
      </w:tr>
      <w:tr>
        <w:trPr>
          <w:trHeight w:val="888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Утвержденный местный бюджет по расходам,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992,50           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2 108,3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i/>
                <w:i/>
                <w:iCs w:val="false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105,8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bCs/>
                <w:highlight w:val="none"/>
                <w:shd w:fill="FFFF00" w:val="clear"/>
              </w:rPr>
            </w:pPr>
            <w:r>
              <w:rPr>
                <w:bCs/>
                <w:shd w:fill="FFFF00" w:val="clear"/>
              </w:rPr>
            </w:r>
          </w:p>
        </w:tc>
      </w:tr>
      <w:tr>
        <w:trPr>
          <w:trHeight w:val="900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2 330,70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4 049,40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173,7</w:t>
            </w:r>
          </w:p>
        </w:tc>
      </w:tr>
      <w:tr>
        <w:trPr>
          <w:trHeight w:val="359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Уровень безработицы, %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2,18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1,66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76,1</w:t>
            </w:r>
          </w:p>
        </w:tc>
      </w:tr>
      <w:tr>
        <w:trPr>
          <w:trHeight w:val="733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284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211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74,3</w:t>
            </w:r>
          </w:p>
        </w:tc>
      </w:tr>
      <w:tr>
        <w:trPr>
          <w:trHeight w:val="675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171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224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130,9</w:t>
            </w:r>
          </w:p>
        </w:tc>
      </w:tr>
      <w:tr>
        <w:trPr>
          <w:trHeight w:val="683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2,4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1,6</w:t>
            </w:r>
          </w:p>
        </w:tc>
        <w:tc>
          <w:tcPr>
            <w:tcW w:w="11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66,7</w:t>
            </w:r>
          </w:p>
        </w:tc>
      </w:tr>
      <w:tr>
        <w:trPr>
          <w:trHeight w:val="691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33 676,90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37 730,20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12,0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Application>LibreOffice/7.4.6.2$Windows_X86_64 LibreOffice_project/5b1f5509c2decdade7fda905e3e1429a67acd63d</Application>
  <AppVersion>15.0000</AppVersion>
  <Pages>1</Pages>
  <Words>307</Words>
  <Characters>1725</Characters>
  <CharactersWithSpaces>2036</CharactersWithSpaces>
  <Paragraphs>104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2023-01-27T16:33:04Z</cp:lastPrinted>
  <dcterms:modified xsi:type="dcterms:W3CDTF">2024-07-15T14:54:45Z</dcterms:modified>
  <cp:revision>699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